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罪名与证据评估材料清单</w:t>
      </w:r>
    </w:p>
    <w:p>
      <w:r>
        <w:t>用于依法整理事实和材料，不自动给出罪名、刑期或案件结果。</w:t>
      </w:r>
    </w:p>
    <w:p>
      <w:pPr>
        <w:pStyle w:val="Heading1"/>
      </w:pPr>
      <w:r>
        <w:t>共同基础资料</w:t>
      </w:r>
    </w:p>
    <w:p>
      <w:r>
        <w:t>□ 文书名称、决定机关、措施实际执行日期、羁押地点和已知期限：________</w:t>
      </w:r>
    </w:p>
    <w:p>
      <w:r>
        <w:t>□ 材料由谁依法持有、可公开或向律师提供的范围：________</w:t>
      </w:r>
    </w:p>
    <w:p>
      <w:r>
        <w:t>□ 每份材料标注来源、日期、原件保管人及尚待核实事项。</w:t>
      </w:r>
    </w:p>
    <w:p>
      <w:pPr>
        <w:pStyle w:val="Heading1"/>
      </w:pPr>
      <w:r>
        <w:t>经济与财产事项</w:t>
      </w:r>
    </w:p>
    <w:p>
      <w:r>
        <w:t>□ 合同、履行往来、资金流水目录、对账及审计资料；区分收到、控制与实际使用。</w:t>
      </w:r>
    </w:p>
    <w:p>
      <w:r>
        <w:t>□ 财物权属、价格认定、损失计算口径和返还记录。</w:t>
      </w:r>
    </w:p>
    <w:p>
      <w:r>
        <w:t>□ 不要为了填表新造凭证、修改账册或删除聊天、交易记录。</w:t>
      </w:r>
    </w:p>
    <w:p>
      <w:pPr>
        <w:pStyle w:val="Heading1"/>
      </w:pPr>
      <w:r>
        <w:t>职务与身份事项</w:t>
      </w:r>
    </w:p>
    <w:p>
      <w:r>
        <w:t>□ 任职、劳动或聘任文件、岗位职责、审批和授权链。</w:t>
      </w:r>
    </w:p>
    <w:p>
      <w:r>
        <w:t>□ 说明实际权限、职责来源、履职条件、决策参与和获利情况。</w:t>
      </w:r>
    </w:p>
    <w:p>
      <w:pPr>
        <w:pStyle w:val="Heading1"/>
      </w:pPr>
      <w:r>
        <w:t>多人参与事项</w:t>
      </w:r>
    </w:p>
    <w:p>
      <w:r>
        <w:t>□ 按时间和事项区分每人行为、资金和指令；“涉黑涉恶”等指控不能仅凭关系或人数判断。</w:t>
      </w:r>
    </w:p>
    <w:p>
      <w:r>
        <w:t>□ 依法可得的组织、业务往来和个人职责资料；不联系他人统一口径。</w:t>
      </w:r>
    </w:p>
    <w:p>
      <w:pPr>
        <w:pStyle w:val="Heading1"/>
      </w:pPr>
      <w:r>
        <w:t>首次沟通和保存</w:t>
      </w:r>
    </w:p>
    <w:p>
      <w:r>
        <w:t>□ 先发送脱敏摘要及资料目录，不在公开表格填写身份证号、完整账户或他人隐私。</w:t>
      </w:r>
    </w:p>
    <w:p>
      <w:r>
        <w:t>□ 与承办律师确认身份、冲突检索、保密、传输方法和委托范围后，再提供必要原件或完整副本。</w:t>
      </w:r>
    </w:p>
    <w:p>
      <w:r>
        <w:t>使用说明、服务范围与官方法源链接：https://www.wwgglawyer.com/case-materials</w:t>
      </w:r>
    </w:p>
    <w:p>
      <w:r>
        <w:t>版本：2026年10月30日。空白准备模板，为一般信息，不构成个案法律意见、合规认证或结果承诺。填写文件请本地保存，按必要范围提供给已确认的授权接收者。北京浩略律师事务所 · 王冠律师，执业证号11101202111297085。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罪名与证据评估材料清单</dc:title>
  <dc:subject>Preparation checklist / 咨询准备清单</dc:subject>
  <dc:creator>王冠律师网站资料整理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